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8" w:rsidRPr="00EF2EB7" w:rsidRDefault="00EF2EB7" w:rsidP="00EF2EB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695857">
        <w:rPr>
          <w:rFonts w:hint="eastAsia"/>
          <w:b/>
          <w:sz w:val="28"/>
          <w:szCs w:val="28"/>
        </w:rPr>
        <w:t xml:space="preserve">         </w:t>
      </w:r>
      <w:r w:rsidR="00B535B8" w:rsidRPr="00A10F63">
        <w:rPr>
          <w:rFonts w:ascii="Times New Roman" w:eastAsia="仿宋_GB2312" w:hAnsi="Times New Roman"/>
          <w:b/>
          <w:sz w:val="32"/>
          <w:szCs w:val="32"/>
        </w:rPr>
        <w:t>2020</w:t>
      </w:r>
      <w:r w:rsidR="00A10F63" w:rsidRPr="00A10F63">
        <w:rPr>
          <w:rFonts w:ascii="Times New Roman" w:eastAsia="仿宋_GB2312" w:hAnsi="Times New Roman"/>
          <w:b/>
          <w:sz w:val="32"/>
          <w:szCs w:val="32"/>
        </w:rPr>
        <w:t>年度</w:t>
      </w:r>
      <w:r w:rsidR="00695857">
        <w:rPr>
          <w:rFonts w:ascii="Times New Roman" w:eastAsia="仿宋_GB2312" w:hAnsi="Times New Roman" w:hint="eastAsia"/>
          <w:b/>
          <w:sz w:val="32"/>
          <w:szCs w:val="32"/>
        </w:rPr>
        <w:t>代表性科研成果</w:t>
      </w:r>
      <w:r w:rsidR="00695857" w:rsidRPr="00EF2EB7">
        <w:rPr>
          <w:b/>
          <w:sz w:val="28"/>
          <w:szCs w:val="28"/>
        </w:rPr>
        <w:t xml:space="preserve"> </w:t>
      </w: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21"/>
        <w:gridCol w:w="662"/>
        <w:gridCol w:w="1478"/>
        <w:gridCol w:w="1262"/>
        <w:gridCol w:w="553"/>
        <w:gridCol w:w="24"/>
        <w:gridCol w:w="557"/>
        <w:gridCol w:w="907"/>
        <w:gridCol w:w="48"/>
        <w:gridCol w:w="874"/>
        <w:gridCol w:w="118"/>
        <w:gridCol w:w="793"/>
        <w:gridCol w:w="218"/>
        <w:gridCol w:w="56"/>
        <w:gridCol w:w="1380"/>
        <w:gridCol w:w="577"/>
      </w:tblGrid>
      <w:tr w:rsidR="00B535B8" w:rsidTr="00695857">
        <w:trPr>
          <w:gridAfter w:val="1"/>
          <w:wAfter w:w="57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项目名称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项目来源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项目级别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本年度实际</w:t>
            </w:r>
          </w:p>
          <w:p w:rsidR="00B535B8" w:rsidRDefault="00B535B8" w:rsidP="008A0DF9">
            <w:pPr>
              <w:adjustRightInd w:val="0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到账经费（万元）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起止日期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负责人</w:t>
            </w:r>
          </w:p>
        </w:tc>
      </w:tr>
      <w:tr w:rsidR="00B535B8" w:rsidTr="00695857">
        <w:trPr>
          <w:gridAfter w:val="1"/>
          <w:wAfter w:w="577" w:type="dxa"/>
          <w:trHeight w:val="39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红色文化融入新时代大学生日常思想政治教育的实践路径研究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教育部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省部级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2020.03---2022.12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尹祥</w:t>
            </w:r>
          </w:p>
        </w:tc>
      </w:tr>
      <w:tr w:rsidR="00B535B8" w:rsidTr="00695857">
        <w:trPr>
          <w:gridAfter w:val="1"/>
          <w:wAfter w:w="577" w:type="dxa"/>
          <w:trHeight w:val="82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EF2EB7">
              <w:rPr>
                <w:rFonts w:ascii="Times New Roman" w:hAnsi="Times New Roman"/>
                <w:color w:val="000000"/>
                <w:sz w:val="20"/>
              </w:rPr>
              <w:t>《全国大学生英语竞赛</w:t>
            </w:r>
            <w:r w:rsidRPr="00EF2EB7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EF2EB7">
              <w:rPr>
                <w:rFonts w:ascii="Times New Roman" w:hAnsi="Times New Roman"/>
                <w:color w:val="000000"/>
                <w:sz w:val="20"/>
              </w:rPr>
              <w:t>类应试技巧》在线课程设计与研发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教育部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省部级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2020.06---2021.09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李惠敏</w:t>
            </w:r>
          </w:p>
        </w:tc>
      </w:tr>
      <w:tr w:rsidR="00B535B8" w:rsidTr="00695857">
        <w:trPr>
          <w:gridAfter w:val="1"/>
          <w:wAfter w:w="577" w:type="dxa"/>
          <w:trHeight w:val="10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后疫情时代大学英语混合式教学模式改革研究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中国外语教育基金会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省部级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 w:hAnsi="Times New Roman"/>
                <w:sz w:val="20"/>
              </w:rPr>
              <w:t>2020.06---2021.09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EF2EB7" w:rsidRDefault="00B535B8" w:rsidP="008A0DF9">
            <w:pPr>
              <w:jc w:val="center"/>
              <w:rPr>
                <w:rFonts w:ascii="Times New Roman" w:hAnsi="Times New Roman"/>
                <w:sz w:val="20"/>
              </w:rPr>
            </w:pPr>
            <w:r w:rsidRPr="00EF2EB7">
              <w:rPr>
                <w:rFonts w:ascii="Times New Roman"/>
                <w:sz w:val="20"/>
              </w:rPr>
              <w:t>李惠敏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782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发表论文名称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出版刊物</w:t>
            </w:r>
          </w:p>
          <w:p w:rsidR="00B535B8" w:rsidRDefault="00B535B8" w:rsidP="008A0DF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/会议名称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期刊定级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发表时间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Default="00B535B8" w:rsidP="008A0DF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第一作者/通讯作者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1104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left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Language and Art Characteristics of English Literature Based on the Perspective of Language Function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8A0DF9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 w:hint="eastAsia"/>
                <w:sz w:val="20"/>
              </w:rPr>
              <w:t>外文期刊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A&amp;HCI</w:t>
            </w:r>
            <w:r w:rsidRPr="00695857">
              <w:rPr>
                <w:rFonts w:ascii="Times New Roman" w:hAnsi="宋体"/>
                <w:sz w:val="20"/>
              </w:rPr>
              <w:t>收录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曹旺儒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1145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left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English flipping Class and Analysis of Language Philosophy Based on Cross-cultural Cogntive Psychology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8A0DF9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 w:hint="eastAsia"/>
                <w:sz w:val="20"/>
              </w:rPr>
              <w:t>外文期刊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A&amp;HCI</w:t>
            </w:r>
            <w:r w:rsidRPr="00695857">
              <w:rPr>
                <w:rFonts w:ascii="Times New Roman" w:hAnsi="宋体"/>
                <w:sz w:val="20"/>
              </w:rPr>
              <w:t>收录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2019.09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李惠敏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776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澳大利亚国立大学</w:t>
            </w:r>
            <w:r w:rsidRPr="00695857">
              <w:rPr>
                <w:rFonts w:ascii="Times New Roman" w:hAnsi="Times New Roman"/>
                <w:sz w:val="20"/>
              </w:rPr>
              <w:t>Coombs</w:t>
            </w:r>
            <w:r w:rsidRPr="00695857">
              <w:rPr>
                <w:rFonts w:ascii="Times New Roman" w:hAnsi="宋体"/>
                <w:sz w:val="20"/>
              </w:rPr>
              <w:t>智库构建机制、运行模式及逻辑思考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高教探索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CSSCI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杨晓斐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558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论罗伯特</w:t>
            </w:r>
            <w:r w:rsidRPr="00695857">
              <w:rPr>
                <w:rFonts w:ascii="Times New Roman" w:hAnsi="Times New Roman"/>
                <w:sz w:val="20"/>
              </w:rPr>
              <w:t>·</w:t>
            </w:r>
            <w:r w:rsidRPr="00695857">
              <w:rPr>
                <w:rFonts w:ascii="Times New Roman" w:hAnsi="宋体"/>
                <w:sz w:val="20"/>
              </w:rPr>
              <w:t>库弗小说的创新思想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河南社会科学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CSSCI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</w:t>
            </w:r>
            <w:r w:rsidRPr="00695857">
              <w:rPr>
                <w:rFonts w:ascii="Times New Roman" w:hAnsi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杜钦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682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生态翻译学视角下焦作旅游翻译问题与对策研究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河南理工大学学报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SCD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郑忠耀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784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太极拳术语翻译研究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河南理工大学学报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SCD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秦琴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780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太极拳英语教学的语域分析模式及应用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河南理工大学学报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SCD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孙莉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1143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新时代计算机辅助翻译实验室建设研究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外国语言与文化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SCD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郑忠耀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972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太极拳在世界传播中的翻译困境、问题与对策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体育研究与教育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SCD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秦琴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834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太极拳典籍英译研究</w:t>
            </w:r>
            <w:r w:rsidRPr="00695857">
              <w:rPr>
                <w:rFonts w:ascii="Times New Roman" w:hAnsi="Times New Roman"/>
                <w:sz w:val="20"/>
              </w:rPr>
              <w:t>——</w:t>
            </w:r>
            <w:r w:rsidRPr="00695857">
              <w:rPr>
                <w:rFonts w:ascii="Times New Roman" w:hAnsi="宋体"/>
                <w:sz w:val="20"/>
              </w:rPr>
              <w:t>典籍文本特征与文本、翻译策略的选择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焦作大学学报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 w:hint="eastAsia"/>
                <w:sz w:val="20"/>
              </w:rPr>
              <w:t>CN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Times New Roman"/>
                <w:sz w:val="20"/>
              </w:rPr>
              <w:t>2020.06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Times New Roman" w:hAnsi="Times New Roman"/>
                <w:sz w:val="20"/>
              </w:rPr>
            </w:pPr>
            <w:r w:rsidRPr="00695857">
              <w:rPr>
                <w:rFonts w:ascii="Times New Roman" w:hAnsi="宋体"/>
                <w:sz w:val="20"/>
              </w:rPr>
              <w:t>秦琴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cantSplit/>
          <w:trHeight w:val="397"/>
          <w:jc w:val="center"/>
        </w:trPr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lastRenderedPageBreak/>
              <w:t>出版著作（不统计“教材”，执笔10万字以上）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t>序号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t>名称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t>主编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t>出版社名称及系数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695857">
              <w:rPr>
                <w:rFonts w:ascii="宋体" w:hAnsi="宋体" w:hint="eastAsia"/>
                <w:b/>
                <w:bCs/>
                <w:sz w:val="20"/>
              </w:rPr>
              <w:t>类别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歌德抒情诗文本研读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李惠敏  赵昉 刘国利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九州出版社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百佳出版社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Times New Roman" w:hAnsi="Times New Roman" w:hint="eastAsia"/>
                <w:color w:val="000000"/>
                <w:sz w:val="20"/>
              </w:rPr>
              <w:t>跨文化视角下外宣翻译研究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曹旺儒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吉林出版集团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百佳出版社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太极拳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冉玉体等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河南大学出版社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省级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人工智能时代翻译技术研究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郑忠耀等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知识产权出版社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百佳出版社</w:t>
            </w:r>
          </w:p>
        </w:tc>
      </w:tr>
      <w:tr w:rsidR="00B535B8" w:rsidTr="00695857">
        <w:tblPrEx>
          <w:jc w:val="center"/>
        </w:tblPrEx>
        <w:trPr>
          <w:gridBefore w:val="1"/>
          <w:wBefore w:w="531" w:type="dxa"/>
          <w:trHeight w:val="397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超级记忆力：3小时记忆力速成魔法书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杨洁冰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台海出版社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8" w:rsidRPr="00695857" w:rsidRDefault="00B535B8" w:rsidP="00695857">
            <w:pPr>
              <w:jc w:val="center"/>
              <w:rPr>
                <w:rFonts w:ascii="宋体" w:hAnsi="宋体"/>
                <w:sz w:val="20"/>
              </w:rPr>
            </w:pPr>
            <w:r w:rsidRPr="00695857">
              <w:rPr>
                <w:rFonts w:ascii="宋体" w:hAnsi="宋体" w:hint="eastAsia"/>
                <w:sz w:val="20"/>
              </w:rPr>
              <w:t>省级</w:t>
            </w:r>
          </w:p>
        </w:tc>
      </w:tr>
    </w:tbl>
    <w:p w:rsidR="00B535B8" w:rsidRDefault="00B535B8" w:rsidP="00B535B8">
      <w:pPr>
        <w:tabs>
          <w:tab w:val="left" w:pos="3675"/>
        </w:tabs>
        <w:spacing w:line="360" w:lineRule="auto"/>
        <w:rPr>
          <w:rFonts w:ascii="Times New Roman" w:eastAsia="黑体" w:hAnsi="Times New Roman"/>
          <w:b/>
          <w:sz w:val="30"/>
        </w:rPr>
      </w:pPr>
    </w:p>
    <w:p w:rsidR="008A0DF9" w:rsidRDefault="008A0DF9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 w:hint="eastAsia"/>
          <w:b/>
          <w:sz w:val="30"/>
        </w:rPr>
      </w:pPr>
    </w:p>
    <w:p w:rsidR="00695857" w:rsidRDefault="00695857" w:rsidP="00B535B8">
      <w:pPr>
        <w:tabs>
          <w:tab w:val="left" w:pos="3675"/>
        </w:tabs>
        <w:spacing w:line="360" w:lineRule="auto"/>
        <w:rPr>
          <w:rFonts w:ascii="Times New Roman" w:eastAsia="黑体" w:hAnsi="Times New Roman"/>
          <w:b/>
          <w:sz w:val="30"/>
        </w:rPr>
      </w:pPr>
    </w:p>
    <w:sectPr w:rsidR="00695857" w:rsidSect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69" w:rsidRDefault="002C1569" w:rsidP="00281336">
      <w:r>
        <w:separator/>
      </w:r>
    </w:p>
  </w:endnote>
  <w:endnote w:type="continuationSeparator" w:id="1">
    <w:p w:rsidR="002C1569" w:rsidRDefault="002C1569" w:rsidP="0028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69" w:rsidRDefault="002C1569" w:rsidP="00281336">
      <w:r>
        <w:separator/>
      </w:r>
    </w:p>
  </w:footnote>
  <w:footnote w:type="continuationSeparator" w:id="1">
    <w:p w:rsidR="002C1569" w:rsidRDefault="002C1569" w:rsidP="00281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5B8"/>
    <w:rsid w:val="0006342B"/>
    <w:rsid w:val="000947B6"/>
    <w:rsid w:val="002479EA"/>
    <w:rsid w:val="00281336"/>
    <w:rsid w:val="002B2315"/>
    <w:rsid w:val="002C1569"/>
    <w:rsid w:val="00350DB0"/>
    <w:rsid w:val="003B30AD"/>
    <w:rsid w:val="00472032"/>
    <w:rsid w:val="004B10FD"/>
    <w:rsid w:val="004D0E62"/>
    <w:rsid w:val="004E4CDB"/>
    <w:rsid w:val="005327F3"/>
    <w:rsid w:val="005A7D0D"/>
    <w:rsid w:val="00695857"/>
    <w:rsid w:val="008A0DF9"/>
    <w:rsid w:val="008E0C4F"/>
    <w:rsid w:val="00A10F63"/>
    <w:rsid w:val="00AA4DBF"/>
    <w:rsid w:val="00AC3CC6"/>
    <w:rsid w:val="00B535B8"/>
    <w:rsid w:val="00CA41E4"/>
    <w:rsid w:val="00EA0D65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8"/>
    <w:pPr>
      <w:widowControl w:val="0"/>
      <w:spacing w:line="240" w:lineRule="auto"/>
      <w:jc w:val="both"/>
    </w:pPr>
    <w:rPr>
      <w:rFonts w:ascii="Calibri" w:eastAsia="宋体" w:hAnsi="Calibri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CA41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A41E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988</Characters>
  <Application>Microsoft Office Word</Application>
  <DocSecurity>0</DocSecurity>
  <Lines>8</Lines>
  <Paragraphs>2</Paragraphs>
  <ScaleCrop>false</ScaleCrop>
  <Company>微软公司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2021-12-10T06:37:00Z</cp:lastPrinted>
  <dcterms:created xsi:type="dcterms:W3CDTF">2022-02-12T05:34:00Z</dcterms:created>
  <dcterms:modified xsi:type="dcterms:W3CDTF">2022-02-12T05:34:00Z</dcterms:modified>
</cp:coreProperties>
</file>